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A9DE" w14:textId="7C114D48" w:rsidR="006D5C2E" w:rsidRPr="00566D08" w:rsidRDefault="00566D08" w:rsidP="00C25E81">
      <w:pPr>
        <w:pStyle w:val="Heading1"/>
        <w:rPr>
          <w:sz w:val="36"/>
          <w:szCs w:val="36"/>
        </w:rPr>
      </w:pPr>
      <w:r w:rsidRPr="00566D08">
        <w:rPr>
          <w:sz w:val="36"/>
          <w:szCs w:val="36"/>
        </w:rPr>
        <w:t>REVIEW O</w:t>
      </w:r>
      <w:r>
        <w:rPr>
          <w:sz w:val="36"/>
          <w:szCs w:val="36"/>
        </w:rPr>
        <w:t>F</w:t>
      </w:r>
      <w:r w:rsidRPr="00566D08">
        <w:rPr>
          <w:sz w:val="36"/>
          <w:szCs w:val="36"/>
        </w:rPr>
        <w:t xml:space="preserve"> CP22/07 -FCA FEE INCREASES</w:t>
      </w:r>
    </w:p>
    <w:p w14:paraId="2480291D" w14:textId="77777777" w:rsidR="00F07CE4" w:rsidRDefault="00F07CE4">
      <w:pPr>
        <w:rPr>
          <w:u w:val="single"/>
        </w:rPr>
      </w:pPr>
    </w:p>
    <w:p w14:paraId="790DA377" w14:textId="5FFADA34" w:rsidR="00C25E81" w:rsidRDefault="006D5C2E" w:rsidP="00C25E81">
      <w:pPr>
        <w:pStyle w:val="Heading2"/>
      </w:pPr>
      <w:r w:rsidRPr="006D5C2E">
        <w:t xml:space="preserve">Summary </w:t>
      </w:r>
    </w:p>
    <w:p w14:paraId="446D9F50" w14:textId="02F74AA8" w:rsidR="00C25E81" w:rsidRDefault="00C25E81">
      <w:r>
        <w:t xml:space="preserve">Changes that were proposed have been considered and the FCA have decided on much the same </w:t>
      </w:r>
      <w:proofErr w:type="gramStart"/>
      <w:r>
        <w:t>approach, but</w:t>
      </w:r>
      <w:proofErr w:type="gramEnd"/>
      <w:r>
        <w:t xml:space="preserve"> are now phasing this in over f</w:t>
      </w:r>
      <w:r w:rsidR="00833A38">
        <w:t xml:space="preserve">our years </w:t>
      </w:r>
      <w:r>
        <w:t xml:space="preserve">instead of </w:t>
      </w:r>
      <w:r w:rsidR="00833A38">
        <w:t>three</w:t>
      </w:r>
      <w:r>
        <w:t>.</w:t>
      </w:r>
    </w:p>
    <w:p w14:paraId="1A4E8E22" w14:textId="5A90506A" w:rsidR="00C25E81" w:rsidRDefault="00C25E81">
      <w:r>
        <w:t>If current RPI inflation at 11.1% per annum continues, this will erode the impact (</w:t>
      </w:r>
      <w:proofErr w:type="spellStart"/>
      <w:proofErr w:type="gramStart"/>
      <w:r>
        <w:t>ie</w:t>
      </w:r>
      <w:proofErr w:type="spellEnd"/>
      <w:proofErr w:type="gramEnd"/>
      <w:r>
        <w:t xml:space="preserve"> purchasing power of the pound) by a 68% over </w:t>
      </w:r>
      <w:r w:rsidR="00833A38">
        <w:t xml:space="preserve">a </w:t>
      </w:r>
      <w:r>
        <w:t>period</w:t>
      </w:r>
      <w:r w:rsidR="00833A38">
        <w:t xml:space="preserve"> of five years</w:t>
      </w:r>
      <w:r>
        <w:t xml:space="preserve">.   Or to put this another way, firms can expect their turnover numbers to increase by this amount just to stand still, in relative terms. </w:t>
      </w:r>
    </w:p>
    <w:p w14:paraId="74C3642C" w14:textId="77777777" w:rsidR="007E65D7" w:rsidRDefault="007E65D7"/>
    <w:p w14:paraId="320FAE3C" w14:textId="35297035" w:rsidR="007E65D7" w:rsidRDefault="007E65D7">
      <w:r>
        <w:t xml:space="preserve">First point to note, </w:t>
      </w:r>
      <w:r>
        <w:t>relevant only to financial advisers</w:t>
      </w:r>
      <w:r>
        <w:t xml:space="preserve">, is that the FSCS levy is excluded – even though the FCA collect this fee on behalf of the industry. </w:t>
      </w:r>
    </w:p>
    <w:p w14:paraId="1295B067" w14:textId="1526AA26" w:rsidR="006D5C2E" w:rsidRDefault="00B07DC3">
      <w:r>
        <w:t>T</w:t>
      </w:r>
      <w:r w:rsidR="006D5C2E">
        <w:t>he FCA</w:t>
      </w:r>
      <w:r w:rsidR="007E65D7">
        <w:t xml:space="preserve"> i</w:t>
      </w:r>
      <w:r>
        <w:t>nitial</w:t>
      </w:r>
      <w:r w:rsidR="007E65D7">
        <w:t>ly</w:t>
      </w:r>
      <w:r w:rsidR="00B63EE6">
        <w:t xml:space="preserve"> estimate</w:t>
      </w:r>
      <w:r>
        <w:t xml:space="preserve">d increase </w:t>
      </w:r>
      <w:r w:rsidR="00B63EE6">
        <w:t xml:space="preserve">requirements </w:t>
      </w:r>
      <w:r>
        <w:t xml:space="preserve">of </w:t>
      </w:r>
      <w:r w:rsidR="00B63EE6">
        <w:t>4.3%</w:t>
      </w:r>
      <w:r>
        <w:t xml:space="preserve">. </w:t>
      </w:r>
      <w:r w:rsidR="00B63EE6">
        <w:t xml:space="preserve"> After </w:t>
      </w:r>
      <w:r>
        <w:t xml:space="preserve">this </w:t>
      </w:r>
      <w:r w:rsidR="00B63EE6">
        <w:t xml:space="preserve">consultation </w:t>
      </w:r>
      <w:r>
        <w:t xml:space="preserve">they </w:t>
      </w:r>
      <w:r w:rsidR="00B63EE6">
        <w:t xml:space="preserve">reduced </w:t>
      </w:r>
      <w:r>
        <w:t>this to</w:t>
      </w:r>
      <w:r w:rsidR="00B63EE6">
        <w:t xml:space="preserve"> 2.8% </w:t>
      </w:r>
      <w:r>
        <w:t>mainly by reducing their</w:t>
      </w:r>
      <w:r w:rsidR="00B63EE6">
        <w:t xml:space="preserve"> ambitions in the immediate future</w:t>
      </w:r>
      <w:r w:rsidR="007E65D7">
        <w:t>.</w:t>
      </w:r>
    </w:p>
    <w:p w14:paraId="39CE8EDC" w14:textId="7F197D6F" w:rsidR="007401BB" w:rsidRDefault="007401BB">
      <w:r>
        <w:t>Movers and shakers in the fee block</w:t>
      </w:r>
      <w:r w:rsidR="00F90815">
        <w:t>s</w:t>
      </w:r>
      <w:r>
        <w:t>:</w:t>
      </w:r>
    </w:p>
    <w:p w14:paraId="65D23DC7" w14:textId="16ACE9D5" w:rsidR="00D8375F" w:rsidRDefault="007E65D7" w:rsidP="00D8375F">
      <w:pPr>
        <w:pStyle w:val="ListParagraph"/>
        <w:numPr>
          <w:ilvl w:val="0"/>
          <w:numId w:val="1"/>
        </w:numPr>
      </w:pPr>
      <w:r>
        <w:t xml:space="preserve">FCA have all </w:t>
      </w:r>
      <w:r w:rsidR="00F90815">
        <w:t>but pulled plans for further AML programs with a 44.3% reduction in funding</w:t>
      </w:r>
      <w:r w:rsidR="00D8375F">
        <w:t xml:space="preserve"> and restructuring the cryptocurrency costs application.</w:t>
      </w:r>
    </w:p>
    <w:p w14:paraId="01CA3B27" w14:textId="5F8B5B4D" w:rsidR="00F90815" w:rsidRDefault="00F90815" w:rsidP="007401BB">
      <w:pPr>
        <w:pStyle w:val="ListParagraph"/>
        <w:numPr>
          <w:ilvl w:val="0"/>
          <w:numId w:val="1"/>
        </w:numPr>
      </w:pPr>
      <w:r>
        <w:t>Percentage wise the hardest hit is an increase of over 45% for credit rating agencies and repositories</w:t>
      </w:r>
      <w:r w:rsidR="00D8375F">
        <w:t xml:space="preserve"> and building societies were not giving </w:t>
      </w:r>
      <w:r w:rsidR="004330CC">
        <w:t>further comment on this sector.</w:t>
      </w:r>
    </w:p>
    <w:p w14:paraId="30BEA337" w14:textId="2E64ACCC" w:rsidR="00C4279C" w:rsidRDefault="00C4279C" w:rsidP="004330CC">
      <w:pPr>
        <w:pStyle w:val="Heading2"/>
      </w:pPr>
      <w:r w:rsidRPr="00C4279C">
        <w:t xml:space="preserve">FCA increases to </w:t>
      </w:r>
      <w:r w:rsidR="00674449" w:rsidRPr="00C4279C">
        <w:t>min</w:t>
      </w:r>
      <w:r w:rsidRPr="00C4279C">
        <w:t>imum</w:t>
      </w:r>
      <w:r w:rsidR="00674449" w:rsidRPr="00C4279C">
        <w:t xml:space="preserve"> fee</w:t>
      </w:r>
      <w:r w:rsidRPr="00C4279C">
        <w:t>s</w:t>
      </w:r>
      <w:r w:rsidR="00674449" w:rsidRPr="00C4279C">
        <w:t xml:space="preserve"> for “A” and “CCL” blocks</w:t>
      </w:r>
    </w:p>
    <w:p w14:paraId="690E66E3" w14:textId="1976FEAE" w:rsidR="00674449" w:rsidRDefault="00833A38" w:rsidP="00F90815">
      <w:r>
        <w:t>It is interesting to note that the</w:t>
      </w:r>
      <w:r w:rsidR="005706EB">
        <w:t xml:space="preserve"> FCA board </w:t>
      </w:r>
      <w:r w:rsidR="00C4279C">
        <w:t>implemented the</w:t>
      </w:r>
      <w:r>
        <w:t xml:space="preserve">se increases </w:t>
      </w:r>
      <w:r w:rsidR="00C4279C">
        <w:t>in</w:t>
      </w:r>
      <w:r w:rsidR="005706EB">
        <w:t xml:space="preserve"> March 2022</w:t>
      </w:r>
      <w:r w:rsidR="00C4279C">
        <w:t xml:space="preserve"> </w:t>
      </w:r>
      <w:r w:rsidR="005706EB">
        <w:t xml:space="preserve">prior to the publishing of CP22/07 </w:t>
      </w:r>
      <w:r w:rsidR="00C4279C">
        <w:t>(So any consultation was worth about as much as a Greek Government bond</w:t>
      </w:r>
      <w:r>
        <w:t>!</w:t>
      </w:r>
      <w:r w:rsidR="00C4279C">
        <w:t xml:space="preserve">) </w:t>
      </w:r>
      <w:proofErr w:type="gramStart"/>
      <w:r>
        <w:t>H</w:t>
      </w:r>
      <w:r w:rsidR="005706EB">
        <w:t>owever</w:t>
      </w:r>
      <w:proofErr w:type="gramEnd"/>
      <w:r w:rsidR="00C4279C">
        <w:t xml:space="preserve"> </w:t>
      </w:r>
      <w:r>
        <w:t>the critical responses mean that</w:t>
      </w:r>
      <w:r w:rsidR="005706EB">
        <w:t xml:space="preserve"> they have </w:t>
      </w:r>
      <w:r w:rsidR="00C4279C">
        <w:t>been forced</w:t>
      </w:r>
      <w:r w:rsidR="005706EB">
        <w:t xml:space="preserve"> to </w:t>
      </w:r>
      <w:r w:rsidR="00C4279C">
        <w:t>implement changes to the CP post implementation</w:t>
      </w:r>
      <w:r w:rsidR="005706EB">
        <w:t>.</w:t>
      </w:r>
    </w:p>
    <w:p w14:paraId="0DE04E96" w14:textId="1195EA59" w:rsidR="00C4279C" w:rsidRDefault="00C4279C" w:rsidP="00F90815">
      <w:r>
        <w:t>What they are keeping:</w:t>
      </w:r>
    </w:p>
    <w:p w14:paraId="6ADC56C7" w14:textId="7A1B8642" w:rsidR="005706EB" w:rsidRDefault="005706EB" w:rsidP="005706EB">
      <w:pPr>
        <w:pStyle w:val="ListParagraph"/>
        <w:numPr>
          <w:ilvl w:val="0"/>
          <w:numId w:val="2"/>
        </w:numPr>
      </w:pPr>
      <w:r>
        <w:t xml:space="preserve">Duel regulated firms </w:t>
      </w:r>
      <w:r w:rsidR="007B70E0">
        <w:t xml:space="preserve">- </w:t>
      </w:r>
      <w:r>
        <w:t xml:space="preserve">reduction of </w:t>
      </w:r>
      <w:r w:rsidR="007B70E0">
        <w:t xml:space="preserve">FCA </w:t>
      </w:r>
      <w:r>
        <w:t xml:space="preserve">costs by 50% as they pay </w:t>
      </w:r>
      <w:r w:rsidR="007B70E0">
        <w:t>on</w:t>
      </w:r>
      <w:r>
        <w:t xml:space="preserve"> prudential side</w:t>
      </w:r>
      <w:r w:rsidR="007B70E0">
        <w:t xml:space="preserve"> too</w:t>
      </w:r>
      <w:r>
        <w:t>.</w:t>
      </w:r>
    </w:p>
    <w:p w14:paraId="748620DF" w14:textId="42D5DDE7" w:rsidR="005706EB" w:rsidRDefault="007B70E0" w:rsidP="005706EB">
      <w:pPr>
        <w:pStyle w:val="ListParagraph"/>
        <w:numPr>
          <w:ilvl w:val="0"/>
          <w:numId w:val="2"/>
        </w:numPr>
      </w:pPr>
      <w:r>
        <w:t>Application of</w:t>
      </w:r>
      <w:r w:rsidR="005706EB">
        <w:t xml:space="preserve"> 25% (medium impact) and 65% (High impact) increases to </w:t>
      </w:r>
      <w:r w:rsidR="004A5CAC">
        <w:t>top two banks of “A” block – deposit acceptors</w:t>
      </w:r>
    </w:p>
    <w:p w14:paraId="787B271F" w14:textId="3A3A97A7" w:rsidR="004A5CAC" w:rsidRDefault="007B70E0" w:rsidP="005706EB">
      <w:pPr>
        <w:pStyle w:val="ListParagraph"/>
        <w:numPr>
          <w:ilvl w:val="0"/>
          <w:numId w:val="2"/>
        </w:numPr>
      </w:pPr>
      <w:r>
        <w:t>Kept</w:t>
      </w:r>
      <w:r w:rsidR="004A5CAC">
        <w:t xml:space="preserve"> the banding risk structure for </w:t>
      </w:r>
      <w:r>
        <w:t xml:space="preserve">charging firms that </w:t>
      </w:r>
      <w:r w:rsidR="004A5CAC">
        <w:t>holding client money</w:t>
      </w:r>
    </w:p>
    <w:p w14:paraId="207397F1" w14:textId="454FC198" w:rsidR="004A5CAC" w:rsidRDefault="004A5CAC" w:rsidP="005706EB">
      <w:pPr>
        <w:pStyle w:val="ListParagraph"/>
        <w:numPr>
          <w:ilvl w:val="0"/>
          <w:numId w:val="2"/>
        </w:numPr>
      </w:pPr>
      <w:r>
        <w:t>EEC firms fees will be maintained as they transition out.</w:t>
      </w:r>
    </w:p>
    <w:p w14:paraId="339A6F51" w14:textId="74B8EFA2" w:rsidR="0058250F" w:rsidRDefault="0058250F" w:rsidP="004A5CAC">
      <w:pPr>
        <w:pStyle w:val="ListParagraph"/>
        <w:numPr>
          <w:ilvl w:val="0"/>
          <w:numId w:val="3"/>
        </w:numPr>
      </w:pPr>
      <w:r>
        <w:t>Rightly a complaint in terms of industry wide recovery of costs for cryptocurrencies</w:t>
      </w:r>
      <w:r w:rsidR="00B0390C">
        <w:t xml:space="preserve"> project and its evident failure.</w:t>
      </w:r>
    </w:p>
    <w:p w14:paraId="75CE14F5" w14:textId="17764EEE" w:rsidR="00B0390C" w:rsidRDefault="00B0390C" w:rsidP="00B0390C">
      <w:r>
        <w:t>FCA response</w:t>
      </w:r>
      <w:r w:rsidR="00833A38">
        <w:t>s have included</w:t>
      </w:r>
      <w:r>
        <w:t>:</w:t>
      </w:r>
    </w:p>
    <w:p w14:paraId="077C8691" w14:textId="4873CED9" w:rsidR="00B0390C" w:rsidRDefault="007B70E0" w:rsidP="00227C1A">
      <w:pPr>
        <w:pStyle w:val="ListParagraph"/>
        <w:numPr>
          <w:ilvl w:val="0"/>
          <w:numId w:val="5"/>
        </w:numPr>
      </w:pPr>
      <w:r>
        <w:t>“</w:t>
      </w:r>
      <w:r w:rsidR="00B0390C">
        <w:t xml:space="preserve">We froze costs for the two years of </w:t>
      </w:r>
      <w:r w:rsidR="00227C1A">
        <w:t>covid</w:t>
      </w:r>
      <w:r>
        <w:t>” -</w:t>
      </w:r>
      <w:proofErr w:type="spellStart"/>
      <w:proofErr w:type="gramStart"/>
      <w:r w:rsidR="00833A38">
        <w:t>ie</w:t>
      </w:r>
      <w:proofErr w:type="spellEnd"/>
      <w:proofErr w:type="gramEnd"/>
      <w:r w:rsidR="00833A38">
        <w:t xml:space="preserve"> </w:t>
      </w:r>
      <w:r>
        <w:t>what more do you want</w:t>
      </w:r>
      <w:r w:rsidR="00833A38">
        <w:t>?</w:t>
      </w:r>
    </w:p>
    <w:p w14:paraId="57AA7542" w14:textId="00213F8E" w:rsidR="00833A38" w:rsidRDefault="007B70E0" w:rsidP="00227C1A">
      <w:pPr>
        <w:pStyle w:val="ListParagraph"/>
        <w:numPr>
          <w:ilvl w:val="0"/>
          <w:numId w:val="5"/>
        </w:numPr>
      </w:pPr>
      <w:r>
        <w:t>“</w:t>
      </w:r>
      <w:r w:rsidR="00227C1A">
        <w:t>We have strong processes and controls in cost savings</w:t>
      </w:r>
      <w:r>
        <w:t>” – w</w:t>
      </w:r>
      <w:r w:rsidR="00833A38">
        <w:t>hich is an interesting claim.</w:t>
      </w:r>
    </w:p>
    <w:p w14:paraId="015C2F9F" w14:textId="779D0CE1" w:rsidR="00227C1A" w:rsidRDefault="00833A38" w:rsidP="00227C1A">
      <w:pPr>
        <w:pStyle w:val="ListParagraph"/>
        <w:numPr>
          <w:ilvl w:val="0"/>
          <w:numId w:val="5"/>
        </w:numPr>
      </w:pPr>
      <w:r>
        <w:t xml:space="preserve">They </w:t>
      </w:r>
      <w:r w:rsidR="002B14DA">
        <w:t xml:space="preserve">have increased the implementation </w:t>
      </w:r>
      <w:r>
        <w:t xml:space="preserve">period </w:t>
      </w:r>
      <w:r w:rsidR="002B14DA">
        <w:t xml:space="preserve">from </w:t>
      </w:r>
      <w:r w:rsidR="007B70E0">
        <w:t>3</w:t>
      </w:r>
      <w:r w:rsidR="002B14DA">
        <w:t xml:space="preserve"> to </w:t>
      </w:r>
      <w:r w:rsidR="007B70E0">
        <w:t>4</w:t>
      </w:r>
      <w:r w:rsidR="002B14DA">
        <w:t xml:space="preserve"> years</w:t>
      </w:r>
    </w:p>
    <w:p w14:paraId="2179C030" w14:textId="34C38B73" w:rsidR="002B14DA" w:rsidRDefault="002B14DA" w:rsidP="002B14DA">
      <w:r>
        <w:t>To this end here are the visual changes to the implemented A and CC blocks:</w:t>
      </w:r>
    </w:p>
    <w:p w14:paraId="70C6E670" w14:textId="21FD4224" w:rsidR="002B14DA" w:rsidRDefault="002B14DA" w:rsidP="002B14DA">
      <w:r w:rsidRPr="002B14DA">
        <w:rPr>
          <w:noProof/>
        </w:rPr>
        <w:lastRenderedPageBreak/>
        <w:drawing>
          <wp:inline distT="0" distB="0" distL="0" distR="0" wp14:anchorId="194F0753" wp14:editId="0F94BB37">
            <wp:extent cx="5349240" cy="2762250"/>
            <wp:effectExtent l="0" t="0" r="381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6"/>
                    <a:srcRect t="46691"/>
                    <a:stretch/>
                  </pic:blipFill>
                  <pic:spPr bwMode="auto">
                    <a:xfrm>
                      <a:off x="0" y="0"/>
                      <a:ext cx="5349704" cy="276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DF2224" w14:textId="54BC8F37" w:rsidR="002B14DA" w:rsidRDefault="007B70E0" w:rsidP="002B14DA">
      <w:pPr>
        <w:pStyle w:val="ListParagraph"/>
        <w:numPr>
          <w:ilvl w:val="0"/>
          <w:numId w:val="6"/>
        </w:numPr>
      </w:pPr>
      <w:r>
        <w:t>Ho</w:t>
      </w:r>
      <w:r w:rsidR="002B14DA">
        <w:t>wever no freezing possible fee reviews and all bets are off after 2025</w:t>
      </w:r>
      <w:r>
        <w:t>.</w:t>
      </w:r>
    </w:p>
    <w:p w14:paraId="65FD37DC" w14:textId="5CA76A3E" w:rsidR="002B14DA" w:rsidRDefault="002B14DA" w:rsidP="002B14DA">
      <w:pPr>
        <w:pStyle w:val="ListParagraph"/>
        <w:numPr>
          <w:ilvl w:val="0"/>
          <w:numId w:val="6"/>
        </w:numPr>
      </w:pPr>
      <w:r>
        <w:t xml:space="preserve">Reading between the lines – they </w:t>
      </w:r>
      <w:r w:rsidR="00067716">
        <w:t>won’t</w:t>
      </w:r>
      <w:r>
        <w:t xml:space="preserve"> implement pollute</w:t>
      </w:r>
      <w:r w:rsidR="00067716">
        <w:t>r</w:t>
      </w:r>
      <w:r>
        <w:t xml:space="preserve"> type </w:t>
      </w:r>
      <w:r w:rsidR="00067716">
        <w:t>charging</w:t>
      </w:r>
      <w:r>
        <w:t xml:space="preserve"> as the FCA costs are way beyond what </w:t>
      </w:r>
      <w:r w:rsidR="00067716">
        <w:t>the</w:t>
      </w:r>
      <w:r w:rsidR="007B70E0">
        <w:t xml:space="preserve"> poll</w:t>
      </w:r>
      <w:r w:rsidR="00DB7A6E">
        <w:t xml:space="preserve">uting firm could pay. </w:t>
      </w:r>
      <w:proofErr w:type="gramStart"/>
      <w:r w:rsidR="00DB7A6E">
        <w:t>So</w:t>
      </w:r>
      <w:proofErr w:type="gramEnd"/>
      <w:r w:rsidR="00DB7A6E">
        <w:t xml:space="preserve"> </w:t>
      </w:r>
      <w:r w:rsidR="00F60D34">
        <w:t>is the FCA value for money?</w:t>
      </w:r>
    </w:p>
    <w:p w14:paraId="5107F948" w14:textId="2EF4D8A0" w:rsidR="00067716" w:rsidRDefault="00700610" w:rsidP="002B14DA">
      <w:pPr>
        <w:pStyle w:val="ListParagraph"/>
        <w:numPr>
          <w:ilvl w:val="0"/>
          <w:numId w:val="6"/>
        </w:numPr>
      </w:pPr>
      <w:r>
        <w:t xml:space="preserve">No to extended terms of payment </w:t>
      </w:r>
      <w:r w:rsidR="00F07CE4">
        <w:t xml:space="preserve">– </w:t>
      </w:r>
      <w:r w:rsidR="00F60D34">
        <w:t>T</w:t>
      </w:r>
      <w:r w:rsidR="00F07CE4">
        <w:t>o do this would effectively cost the FCA more to administer.</w:t>
      </w:r>
    </w:p>
    <w:sectPr w:rsidR="00067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0F4D"/>
    <w:multiLevelType w:val="hybridMultilevel"/>
    <w:tmpl w:val="45EA9A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40C23"/>
    <w:multiLevelType w:val="hybridMultilevel"/>
    <w:tmpl w:val="BDECAA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2A20"/>
    <w:multiLevelType w:val="hybridMultilevel"/>
    <w:tmpl w:val="A65ED3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0307E"/>
    <w:multiLevelType w:val="hybridMultilevel"/>
    <w:tmpl w:val="FFB8EE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B5E50"/>
    <w:multiLevelType w:val="hybridMultilevel"/>
    <w:tmpl w:val="F3C435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77035"/>
    <w:multiLevelType w:val="hybridMultilevel"/>
    <w:tmpl w:val="C2E20F06"/>
    <w:lvl w:ilvl="0" w:tplc="73867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98069">
    <w:abstractNumId w:val="5"/>
  </w:num>
  <w:num w:numId="2" w16cid:durableId="123499997">
    <w:abstractNumId w:val="4"/>
  </w:num>
  <w:num w:numId="3" w16cid:durableId="742917343">
    <w:abstractNumId w:val="0"/>
  </w:num>
  <w:num w:numId="4" w16cid:durableId="1899628050">
    <w:abstractNumId w:val="1"/>
  </w:num>
  <w:num w:numId="5" w16cid:durableId="10181522">
    <w:abstractNumId w:val="2"/>
  </w:num>
  <w:num w:numId="6" w16cid:durableId="1647473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2E"/>
    <w:rsid w:val="00067716"/>
    <w:rsid w:val="0013445C"/>
    <w:rsid w:val="00227C1A"/>
    <w:rsid w:val="002B14DA"/>
    <w:rsid w:val="003E3502"/>
    <w:rsid w:val="004330CC"/>
    <w:rsid w:val="004A5CAC"/>
    <w:rsid w:val="00566D08"/>
    <w:rsid w:val="005706EB"/>
    <w:rsid w:val="0058250F"/>
    <w:rsid w:val="006715D6"/>
    <w:rsid w:val="00674449"/>
    <w:rsid w:val="006D5C2E"/>
    <w:rsid w:val="00700610"/>
    <w:rsid w:val="007401BB"/>
    <w:rsid w:val="007B70E0"/>
    <w:rsid w:val="007E65D7"/>
    <w:rsid w:val="0081236A"/>
    <w:rsid w:val="00833A38"/>
    <w:rsid w:val="008E3946"/>
    <w:rsid w:val="00A520FA"/>
    <w:rsid w:val="00B0390C"/>
    <w:rsid w:val="00B07DC3"/>
    <w:rsid w:val="00B63EE6"/>
    <w:rsid w:val="00BE58FA"/>
    <w:rsid w:val="00C16BD4"/>
    <w:rsid w:val="00C25E81"/>
    <w:rsid w:val="00C4279C"/>
    <w:rsid w:val="00D8375F"/>
    <w:rsid w:val="00DB7A6E"/>
    <w:rsid w:val="00F07CE4"/>
    <w:rsid w:val="00F60D34"/>
    <w:rsid w:val="00F90815"/>
    <w:rsid w:val="00FA46BD"/>
    <w:rsid w:val="00F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E9D6"/>
  <w15:chartTrackingRefBased/>
  <w15:docId w15:val="{1EA41009-C993-4326-B393-09EC03CF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5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4539-C3E6-42D2-9EE2-2F12E3A4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Gregor Frame</dc:creator>
  <cp:keywords/>
  <dc:description/>
  <cp:lastModifiedBy>charlie palmer</cp:lastModifiedBy>
  <cp:revision>4</cp:revision>
  <dcterms:created xsi:type="dcterms:W3CDTF">2022-06-30T10:19:00Z</dcterms:created>
  <dcterms:modified xsi:type="dcterms:W3CDTF">2022-06-30T10:26:00Z</dcterms:modified>
</cp:coreProperties>
</file>